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7D57F" w14:textId="77777777" w:rsidR="00466338" w:rsidRPr="001B1AB3" w:rsidRDefault="00466338" w:rsidP="00466338">
      <w:pPr>
        <w:rPr>
          <w:sz w:val="20"/>
          <w:szCs w:val="20"/>
          <w:lang w:val="fr-BE"/>
        </w:rPr>
      </w:pPr>
    </w:p>
    <w:p w14:paraId="3D9D9D34" w14:textId="71EAFA8C" w:rsidR="00466338" w:rsidRDefault="00564191" w:rsidP="00564191">
      <w:pPr>
        <w:jc w:val="center"/>
        <w:rPr>
          <w:rFonts w:ascii="Trebuchet MS" w:hAnsi="Trebuchet MS"/>
          <w:bCs/>
          <w:color w:val="44546A" w:themeColor="text2"/>
          <w:lang w:val="en-US"/>
        </w:rPr>
      </w:pPr>
      <w:r>
        <w:rPr>
          <w:rFonts w:ascii="Trebuchet MS" w:hAnsi="Trebuchet MS"/>
          <w:bCs/>
          <w:color w:val="44546A" w:themeColor="text2"/>
          <w:lang w:val="en-US"/>
        </w:rPr>
        <w:t>LISTA DE VERIFICARE</w:t>
      </w:r>
    </w:p>
    <w:p w14:paraId="6F6CC203" w14:textId="07EFA854" w:rsidR="00564191" w:rsidRPr="006947BF" w:rsidRDefault="009B4FF4" w:rsidP="00564191">
      <w:pPr>
        <w:jc w:val="center"/>
        <w:rPr>
          <w:rFonts w:ascii="Trebuchet MS" w:hAnsi="Trebuchet MS"/>
          <w:bCs/>
          <w:color w:val="44546A" w:themeColor="text2"/>
          <w:lang w:val="en-US"/>
        </w:rPr>
      </w:pPr>
      <w:r>
        <w:rPr>
          <w:rFonts w:ascii="Trebuchet MS" w:hAnsi="Trebuchet MS"/>
          <w:bCs/>
          <w:color w:val="44546A" w:themeColor="text2"/>
          <w:lang w:val="en-US"/>
        </w:rPr>
        <w:t>SUCRITERIUL 3.4</w:t>
      </w:r>
      <w:bookmarkStart w:id="0" w:name="_GoBack"/>
      <w:bookmarkEnd w:id="0"/>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5.1Este descrierea proiectului în conformitate cu 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5.5 Există o descriere a posibilelor efecte </w:t>
            </w:r>
            <w:r w:rsidRPr="009E3B45">
              <w:rPr>
                <w:rFonts w:ascii="Arial Narrow" w:eastAsia="Times New Roman" w:hAnsi="Arial Narrow" w:cs="Calibri"/>
                <w:color w:val="000000"/>
                <w:sz w:val="19"/>
                <w:szCs w:val="19"/>
                <w:lang w:eastAsia="ro-RO"/>
              </w:rPr>
              <w:lastRenderedPageBreak/>
              <w:t>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466338">
      <w:footerReference w:type="default" r:id="rId11"/>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38697" w14:textId="77777777" w:rsidR="000F2B93" w:rsidRDefault="000F2B93" w:rsidP="003C6E29">
      <w:pPr>
        <w:spacing w:after="0" w:line="240" w:lineRule="auto"/>
      </w:pPr>
      <w:r>
        <w:separator/>
      </w:r>
    </w:p>
  </w:endnote>
  <w:endnote w:type="continuationSeparator" w:id="0">
    <w:p w14:paraId="53770004" w14:textId="77777777" w:rsidR="000F2B93" w:rsidRDefault="000F2B93"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8528415"/>
      <w:docPartObj>
        <w:docPartGallery w:val="Page Numbers (Bottom of Page)"/>
        <w:docPartUnique/>
      </w:docPartObj>
    </w:sdtPr>
    <w:sdtEndPr/>
    <w:sdtContent>
      <w:p w14:paraId="052E3CAA" w14:textId="05084B8D" w:rsidR="00EA4EA6" w:rsidRDefault="00EA4EA6">
        <w:pPr>
          <w:pStyle w:val="Footer"/>
          <w:jc w:val="center"/>
        </w:pPr>
        <w:r>
          <w:fldChar w:fldCharType="begin"/>
        </w:r>
        <w:r>
          <w:instrText>PAGE   \* MERGEFORMAT</w:instrText>
        </w:r>
        <w:r>
          <w:fldChar w:fldCharType="separate"/>
        </w:r>
        <w:r w:rsidR="009B4FF4">
          <w:rPr>
            <w:noProof/>
          </w:rPr>
          <w:t>9</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159E38" w14:textId="77777777" w:rsidR="000F2B93" w:rsidRDefault="000F2B93" w:rsidP="003C6E29">
      <w:pPr>
        <w:spacing w:after="0" w:line="240" w:lineRule="auto"/>
      </w:pPr>
      <w:r>
        <w:separator/>
      </w:r>
    </w:p>
  </w:footnote>
  <w:footnote w:type="continuationSeparator" w:id="0">
    <w:p w14:paraId="0774EE19" w14:textId="77777777" w:rsidR="000F2B93" w:rsidRDefault="000F2B93" w:rsidP="003C6E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7"/>
  </w:num>
  <w:num w:numId="2">
    <w:abstractNumId w:val="71"/>
  </w:num>
  <w:num w:numId="3">
    <w:abstractNumId w:val="196"/>
  </w:num>
  <w:num w:numId="4">
    <w:abstractNumId w:val="121"/>
  </w:num>
  <w:num w:numId="5">
    <w:abstractNumId w:val="179"/>
  </w:num>
  <w:num w:numId="6">
    <w:abstractNumId w:val="107"/>
  </w:num>
  <w:num w:numId="7">
    <w:abstractNumId w:val="60"/>
  </w:num>
  <w:num w:numId="8">
    <w:abstractNumId w:val="58"/>
  </w:num>
  <w:num w:numId="9">
    <w:abstractNumId w:val="14"/>
  </w:num>
  <w:num w:numId="10">
    <w:abstractNumId w:val="92"/>
  </w:num>
  <w:num w:numId="11">
    <w:abstractNumId w:val="23"/>
  </w:num>
  <w:num w:numId="12">
    <w:abstractNumId w:val="130"/>
  </w:num>
  <w:num w:numId="13">
    <w:abstractNumId w:val="49"/>
  </w:num>
  <w:num w:numId="14">
    <w:abstractNumId w:val="96"/>
  </w:num>
  <w:num w:numId="15">
    <w:abstractNumId w:val="73"/>
  </w:num>
  <w:num w:numId="16">
    <w:abstractNumId w:val="175"/>
  </w:num>
  <w:num w:numId="17">
    <w:abstractNumId w:val="9"/>
  </w:num>
  <w:num w:numId="18">
    <w:abstractNumId w:val="87"/>
  </w:num>
  <w:num w:numId="19">
    <w:abstractNumId w:val="18"/>
  </w:num>
  <w:num w:numId="20">
    <w:abstractNumId w:val="104"/>
  </w:num>
  <w:num w:numId="21">
    <w:abstractNumId w:val="141"/>
  </w:num>
  <w:num w:numId="22">
    <w:abstractNumId w:val="140"/>
  </w:num>
  <w:num w:numId="23">
    <w:abstractNumId w:val="66"/>
  </w:num>
  <w:num w:numId="24">
    <w:abstractNumId w:val="180"/>
  </w:num>
  <w:num w:numId="25">
    <w:abstractNumId w:val="98"/>
  </w:num>
  <w:num w:numId="26">
    <w:abstractNumId w:val="174"/>
  </w:num>
  <w:num w:numId="27">
    <w:abstractNumId w:val="26"/>
  </w:num>
  <w:num w:numId="28">
    <w:abstractNumId w:val="147"/>
  </w:num>
  <w:num w:numId="29">
    <w:abstractNumId w:val="157"/>
  </w:num>
  <w:num w:numId="30">
    <w:abstractNumId w:val="182"/>
  </w:num>
  <w:num w:numId="31">
    <w:abstractNumId w:val="117"/>
  </w:num>
  <w:num w:numId="32">
    <w:abstractNumId w:val="77"/>
  </w:num>
  <w:num w:numId="33">
    <w:abstractNumId w:val="61"/>
  </w:num>
  <w:num w:numId="34">
    <w:abstractNumId w:val="4"/>
  </w:num>
  <w:num w:numId="35">
    <w:abstractNumId w:val="102"/>
  </w:num>
  <w:num w:numId="36">
    <w:abstractNumId w:val="57"/>
  </w:num>
  <w:num w:numId="37">
    <w:abstractNumId w:val="7"/>
  </w:num>
  <w:num w:numId="38">
    <w:abstractNumId w:val="94"/>
  </w:num>
  <w:num w:numId="39">
    <w:abstractNumId w:val="189"/>
  </w:num>
  <w:num w:numId="40">
    <w:abstractNumId w:val="101"/>
  </w:num>
  <w:num w:numId="41">
    <w:abstractNumId w:val="192"/>
  </w:num>
  <w:num w:numId="42">
    <w:abstractNumId w:val="48"/>
  </w:num>
  <w:num w:numId="43">
    <w:abstractNumId w:val="59"/>
  </w:num>
  <w:num w:numId="44">
    <w:abstractNumId w:val="173"/>
  </w:num>
  <w:num w:numId="45">
    <w:abstractNumId w:val="19"/>
  </w:num>
  <w:num w:numId="46">
    <w:abstractNumId w:val="156"/>
  </w:num>
  <w:num w:numId="47">
    <w:abstractNumId w:val="126"/>
  </w:num>
  <w:num w:numId="48">
    <w:abstractNumId w:val="124"/>
  </w:num>
  <w:num w:numId="49">
    <w:abstractNumId w:val="85"/>
  </w:num>
  <w:num w:numId="50">
    <w:abstractNumId w:val="132"/>
  </w:num>
  <w:num w:numId="51">
    <w:abstractNumId w:val="80"/>
  </w:num>
  <w:num w:numId="52">
    <w:abstractNumId w:val="12"/>
  </w:num>
  <w:num w:numId="53">
    <w:abstractNumId w:val="158"/>
  </w:num>
  <w:num w:numId="54">
    <w:abstractNumId w:val="154"/>
  </w:num>
  <w:num w:numId="55">
    <w:abstractNumId w:val="165"/>
  </w:num>
  <w:num w:numId="56">
    <w:abstractNumId w:val="65"/>
  </w:num>
  <w:num w:numId="57">
    <w:abstractNumId w:val="106"/>
  </w:num>
  <w:num w:numId="58">
    <w:abstractNumId w:val="75"/>
  </w:num>
  <w:num w:numId="59">
    <w:abstractNumId w:val="40"/>
  </w:num>
  <w:num w:numId="60">
    <w:abstractNumId w:val="34"/>
  </w:num>
  <w:num w:numId="61">
    <w:abstractNumId w:val="76"/>
  </w:num>
  <w:num w:numId="62">
    <w:abstractNumId w:val="188"/>
  </w:num>
  <w:num w:numId="63">
    <w:abstractNumId w:val="16"/>
  </w:num>
  <w:num w:numId="64">
    <w:abstractNumId w:val="54"/>
  </w:num>
  <w:num w:numId="65">
    <w:abstractNumId w:val="127"/>
  </w:num>
  <w:num w:numId="66">
    <w:abstractNumId w:val="74"/>
  </w:num>
  <w:num w:numId="67">
    <w:abstractNumId w:val="69"/>
  </w:num>
  <w:num w:numId="68">
    <w:abstractNumId w:val="197"/>
  </w:num>
  <w:num w:numId="69">
    <w:abstractNumId w:val="90"/>
  </w:num>
  <w:num w:numId="70">
    <w:abstractNumId w:val="148"/>
  </w:num>
  <w:num w:numId="71">
    <w:abstractNumId w:val="108"/>
  </w:num>
  <w:num w:numId="72">
    <w:abstractNumId w:val="11"/>
  </w:num>
  <w:num w:numId="73">
    <w:abstractNumId w:val="42"/>
  </w:num>
  <w:num w:numId="74">
    <w:abstractNumId w:val="15"/>
  </w:num>
  <w:num w:numId="75">
    <w:abstractNumId w:val="88"/>
  </w:num>
  <w:num w:numId="76">
    <w:abstractNumId w:val="198"/>
  </w:num>
  <w:num w:numId="77">
    <w:abstractNumId w:val="99"/>
  </w:num>
  <w:num w:numId="78">
    <w:abstractNumId w:val="56"/>
  </w:num>
  <w:num w:numId="79">
    <w:abstractNumId w:val="170"/>
  </w:num>
  <w:num w:numId="80">
    <w:abstractNumId w:val="138"/>
  </w:num>
  <w:num w:numId="81">
    <w:abstractNumId w:val="195"/>
  </w:num>
  <w:num w:numId="82">
    <w:abstractNumId w:val="129"/>
  </w:num>
  <w:num w:numId="83">
    <w:abstractNumId w:val="145"/>
  </w:num>
  <w:num w:numId="84">
    <w:abstractNumId w:val="89"/>
  </w:num>
  <w:num w:numId="85">
    <w:abstractNumId w:val="131"/>
  </w:num>
  <w:num w:numId="86">
    <w:abstractNumId w:val="116"/>
  </w:num>
  <w:num w:numId="87">
    <w:abstractNumId w:val="20"/>
  </w:num>
  <w:num w:numId="88">
    <w:abstractNumId w:val="161"/>
  </w:num>
  <w:num w:numId="89">
    <w:abstractNumId w:val="78"/>
  </w:num>
  <w:num w:numId="90">
    <w:abstractNumId w:val="191"/>
  </w:num>
  <w:num w:numId="91">
    <w:abstractNumId w:val="169"/>
  </w:num>
  <w:num w:numId="92">
    <w:abstractNumId w:val="111"/>
  </w:num>
  <w:num w:numId="93">
    <w:abstractNumId w:val="167"/>
  </w:num>
  <w:num w:numId="94">
    <w:abstractNumId w:val="164"/>
  </w:num>
  <w:num w:numId="95">
    <w:abstractNumId w:val="93"/>
  </w:num>
  <w:num w:numId="96">
    <w:abstractNumId w:val="142"/>
  </w:num>
  <w:num w:numId="97">
    <w:abstractNumId w:val="163"/>
  </w:num>
  <w:num w:numId="98">
    <w:abstractNumId w:val="5"/>
  </w:num>
  <w:num w:numId="99">
    <w:abstractNumId w:val="6"/>
  </w:num>
  <w:num w:numId="100">
    <w:abstractNumId w:val="162"/>
  </w:num>
  <w:num w:numId="101">
    <w:abstractNumId w:val="149"/>
  </w:num>
  <w:num w:numId="102">
    <w:abstractNumId w:val="120"/>
  </w:num>
  <w:num w:numId="103">
    <w:abstractNumId w:val="45"/>
  </w:num>
  <w:num w:numId="104">
    <w:abstractNumId w:val="186"/>
  </w:num>
  <w:num w:numId="105">
    <w:abstractNumId w:val="33"/>
  </w:num>
  <w:num w:numId="106">
    <w:abstractNumId w:val="135"/>
  </w:num>
  <w:num w:numId="107">
    <w:abstractNumId w:val="44"/>
  </w:num>
  <w:num w:numId="108">
    <w:abstractNumId w:val="27"/>
  </w:num>
  <w:num w:numId="109">
    <w:abstractNumId w:val="100"/>
  </w:num>
  <w:num w:numId="110">
    <w:abstractNumId w:val="190"/>
  </w:num>
  <w:num w:numId="111">
    <w:abstractNumId w:val="185"/>
  </w:num>
  <w:num w:numId="112">
    <w:abstractNumId w:val="125"/>
  </w:num>
  <w:num w:numId="113">
    <w:abstractNumId w:val="122"/>
  </w:num>
  <w:num w:numId="114">
    <w:abstractNumId w:val="143"/>
  </w:num>
  <w:num w:numId="115">
    <w:abstractNumId w:val="103"/>
  </w:num>
  <w:num w:numId="116">
    <w:abstractNumId w:val="136"/>
  </w:num>
  <w:num w:numId="117">
    <w:abstractNumId w:val="95"/>
  </w:num>
  <w:num w:numId="118">
    <w:abstractNumId w:val="172"/>
  </w:num>
  <w:num w:numId="119">
    <w:abstractNumId w:val="41"/>
  </w:num>
  <w:num w:numId="120">
    <w:abstractNumId w:val="109"/>
  </w:num>
  <w:num w:numId="121">
    <w:abstractNumId w:val="62"/>
  </w:num>
  <w:num w:numId="122">
    <w:abstractNumId w:val="183"/>
  </w:num>
  <w:num w:numId="123">
    <w:abstractNumId w:val="155"/>
  </w:num>
  <w:num w:numId="124">
    <w:abstractNumId w:val="152"/>
  </w:num>
  <w:num w:numId="125">
    <w:abstractNumId w:val="43"/>
  </w:num>
  <w:num w:numId="126">
    <w:abstractNumId w:val="84"/>
  </w:num>
  <w:num w:numId="127">
    <w:abstractNumId w:val="35"/>
  </w:num>
  <w:num w:numId="128">
    <w:abstractNumId w:val="52"/>
  </w:num>
  <w:num w:numId="129">
    <w:abstractNumId w:val="110"/>
  </w:num>
  <w:num w:numId="130">
    <w:abstractNumId w:val="31"/>
  </w:num>
  <w:num w:numId="131">
    <w:abstractNumId w:val="176"/>
  </w:num>
  <w:num w:numId="132">
    <w:abstractNumId w:val="115"/>
  </w:num>
  <w:num w:numId="133">
    <w:abstractNumId w:val="86"/>
  </w:num>
  <w:num w:numId="134">
    <w:abstractNumId w:val="64"/>
  </w:num>
  <w:num w:numId="135">
    <w:abstractNumId w:val="166"/>
  </w:num>
  <w:num w:numId="136">
    <w:abstractNumId w:val="38"/>
  </w:num>
  <w:num w:numId="137">
    <w:abstractNumId w:val="79"/>
  </w:num>
  <w:num w:numId="138">
    <w:abstractNumId w:val="133"/>
  </w:num>
  <w:num w:numId="139">
    <w:abstractNumId w:val="8"/>
  </w:num>
  <w:num w:numId="140">
    <w:abstractNumId w:val="194"/>
  </w:num>
  <w:num w:numId="141">
    <w:abstractNumId w:val="37"/>
  </w:num>
  <w:num w:numId="142">
    <w:abstractNumId w:val="1"/>
  </w:num>
  <w:num w:numId="143">
    <w:abstractNumId w:val="113"/>
  </w:num>
  <w:num w:numId="144">
    <w:abstractNumId w:val="181"/>
  </w:num>
  <w:num w:numId="145">
    <w:abstractNumId w:val="168"/>
  </w:num>
  <w:num w:numId="146">
    <w:abstractNumId w:val="39"/>
  </w:num>
  <w:num w:numId="147">
    <w:abstractNumId w:val="112"/>
  </w:num>
  <w:num w:numId="148">
    <w:abstractNumId w:val="139"/>
  </w:num>
  <w:num w:numId="149">
    <w:abstractNumId w:val="72"/>
  </w:num>
  <w:num w:numId="150">
    <w:abstractNumId w:val="55"/>
  </w:num>
  <w:num w:numId="151">
    <w:abstractNumId w:val="146"/>
  </w:num>
  <w:num w:numId="152">
    <w:abstractNumId w:val="36"/>
  </w:num>
  <w:num w:numId="153">
    <w:abstractNumId w:val="24"/>
  </w:num>
  <w:num w:numId="154">
    <w:abstractNumId w:val="68"/>
  </w:num>
  <w:num w:numId="155">
    <w:abstractNumId w:val="53"/>
  </w:num>
  <w:num w:numId="156">
    <w:abstractNumId w:val="178"/>
  </w:num>
  <w:num w:numId="157">
    <w:abstractNumId w:val="83"/>
  </w:num>
  <w:num w:numId="158">
    <w:abstractNumId w:val="128"/>
  </w:num>
  <w:num w:numId="159">
    <w:abstractNumId w:val="137"/>
  </w:num>
  <w:num w:numId="160">
    <w:abstractNumId w:val="10"/>
  </w:num>
  <w:num w:numId="161">
    <w:abstractNumId w:val="51"/>
  </w:num>
  <w:num w:numId="162">
    <w:abstractNumId w:val="150"/>
  </w:num>
  <w:num w:numId="163">
    <w:abstractNumId w:val="177"/>
  </w:num>
  <w:num w:numId="164">
    <w:abstractNumId w:val="21"/>
  </w:num>
  <w:num w:numId="165">
    <w:abstractNumId w:val="134"/>
  </w:num>
  <w:num w:numId="166">
    <w:abstractNumId w:val="82"/>
  </w:num>
  <w:num w:numId="167">
    <w:abstractNumId w:val="30"/>
  </w:num>
  <w:num w:numId="168">
    <w:abstractNumId w:val="63"/>
  </w:num>
  <w:num w:numId="169">
    <w:abstractNumId w:val="105"/>
  </w:num>
  <w:num w:numId="170">
    <w:abstractNumId w:val="118"/>
  </w:num>
  <w:num w:numId="171">
    <w:abstractNumId w:val="3"/>
  </w:num>
  <w:num w:numId="172">
    <w:abstractNumId w:val="114"/>
  </w:num>
  <w:num w:numId="173">
    <w:abstractNumId w:val="171"/>
  </w:num>
  <w:num w:numId="174">
    <w:abstractNumId w:val="151"/>
  </w:num>
  <w:num w:numId="175">
    <w:abstractNumId w:val="50"/>
  </w:num>
  <w:num w:numId="176">
    <w:abstractNumId w:val="28"/>
  </w:num>
  <w:num w:numId="177">
    <w:abstractNumId w:val="81"/>
  </w:num>
  <w:num w:numId="178">
    <w:abstractNumId w:val="119"/>
  </w:num>
  <w:num w:numId="179">
    <w:abstractNumId w:val="153"/>
  </w:num>
  <w:num w:numId="180">
    <w:abstractNumId w:val="46"/>
  </w:num>
  <w:num w:numId="181">
    <w:abstractNumId w:val="70"/>
  </w:num>
  <w:num w:numId="182">
    <w:abstractNumId w:val="47"/>
  </w:num>
  <w:num w:numId="183">
    <w:abstractNumId w:val="2"/>
  </w:num>
  <w:num w:numId="184">
    <w:abstractNumId w:val="91"/>
  </w:num>
  <w:num w:numId="185">
    <w:abstractNumId w:val="29"/>
  </w:num>
  <w:num w:numId="186">
    <w:abstractNumId w:val="22"/>
  </w:num>
  <w:num w:numId="187">
    <w:abstractNumId w:val="32"/>
  </w:num>
  <w:num w:numId="188">
    <w:abstractNumId w:val="159"/>
  </w:num>
  <w:num w:numId="189">
    <w:abstractNumId w:val="13"/>
  </w:num>
  <w:num w:numId="190">
    <w:abstractNumId w:val="17"/>
  </w:num>
  <w:num w:numId="191">
    <w:abstractNumId w:val="0"/>
  </w:num>
  <w:num w:numId="192">
    <w:abstractNumId w:val="25"/>
  </w:num>
  <w:num w:numId="193">
    <w:abstractNumId w:val="193"/>
  </w:num>
  <w:num w:numId="194">
    <w:abstractNumId w:val="187"/>
  </w:num>
  <w:num w:numId="195">
    <w:abstractNumId w:val="184"/>
  </w:num>
  <w:num w:numId="196">
    <w:abstractNumId w:val="144"/>
  </w:num>
  <w:num w:numId="197">
    <w:abstractNumId w:val="160"/>
  </w:num>
  <w:num w:numId="198">
    <w:abstractNumId w:val="123"/>
  </w:num>
  <w:num w:numId="199">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0012"/>
    <w:rsid w:val="000E1029"/>
    <w:rsid w:val="000E153E"/>
    <w:rsid w:val="000E213D"/>
    <w:rsid w:val="000E27E4"/>
    <w:rsid w:val="000E4471"/>
    <w:rsid w:val="000E4C35"/>
    <w:rsid w:val="000F2B93"/>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4FF4"/>
    <w:rsid w:val="009B676A"/>
    <w:rsid w:val="009B6D4B"/>
    <w:rsid w:val="009C2BA3"/>
    <w:rsid w:val="009C62BE"/>
    <w:rsid w:val="009C7270"/>
    <w:rsid w:val="009D0C23"/>
    <w:rsid w:val="009D172F"/>
    <w:rsid w:val="009D1777"/>
    <w:rsid w:val="009D22FB"/>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3A7D"/>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A5FE7610-615E-4409-88BF-A198FE7D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3092</Words>
  <Characters>17938</Characters>
  <Application>Microsoft Office Word</Application>
  <DocSecurity>0</DocSecurity>
  <Lines>149</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20989</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Maria DANILA</cp:lastModifiedBy>
  <cp:revision>3</cp:revision>
  <cp:lastPrinted>2017-03-06T09:18:00Z</cp:lastPrinted>
  <dcterms:created xsi:type="dcterms:W3CDTF">2023-05-29T07:54:00Z</dcterms:created>
  <dcterms:modified xsi:type="dcterms:W3CDTF">2023-05-29T09:59:00Z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